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68257" w14:textId="7D657657" w:rsidR="006719C2" w:rsidRDefault="00D511DA">
      <w:pPr>
        <w:pStyle w:val="Heading1"/>
        <w:spacing w:before="82"/>
      </w:pPr>
      <w:r>
        <w:t>ADVANZ</w:t>
      </w:r>
      <w:r>
        <w:rPr>
          <w:spacing w:val="-7"/>
        </w:rPr>
        <w:t xml:space="preserve"> </w:t>
      </w:r>
      <w:r>
        <w:t>PHARMA</w:t>
      </w:r>
      <w:r>
        <w:rPr>
          <w:spacing w:val="-5"/>
        </w:rPr>
        <w:t xml:space="preserve"> </w:t>
      </w:r>
      <w:r>
        <w:rPr>
          <w:spacing w:val="-4"/>
        </w:rPr>
        <w:t xml:space="preserve">HOLDCO </w:t>
      </w:r>
      <w:r>
        <w:t>LIMITED</w:t>
      </w:r>
      <w:r>
        <w:rPr>
          <w:spacing w:val="-6"/>
        </w:rPr>
        <w:t xml:space="preserve"> </w:t>
      </w:r>
      <w:r>
        <w:t>GROUP</w:t>
      </w:r>
      <w:r>
        <w:rPr>
          <w:spacing w:val="-5"/>
        </w:rPr>
        <w:t xml:space="preserve"> </w:t>
      </w:r>
      <w:r>
        <w:t>–</w:t>
      </w:r>
      <w:r>
        <w:rPr>
          <w:spacing w:val="-4"/>
        </w:rPr>
        <w:t xml:space="preserve"> </w:t>
      </w:r>
      <w:r>
        <w:t>U.K.</w:t>
      </w:r>
      <w:r>
        <w:rPr>
          <w:spacing w:val="-5"/>
        </w:rPr>
        <w:t xml:space="preserve"> </w:t>
      </w:r>
      <w:r>
        <w:t>TAX</w:t>
      </w:r>
      <w:r>
        <w:rPr>
          <w:spacing w:val="-4"/>
        </w:rPr>
        <w:t xml:space="preserve"> </w:t>
      </w:r>
      <w:r>
        <w:rPr>
          <w:spacing w:val="-2"/>
        </w:rPr>
        <w:t>STRATEGY</w:t>
      </w:r>
    </w:p>
    <w:p w14:paraId="65C2EAB7" w14:textId="77777777" w:rsidR="006719C2" w:rsidRDefault="006719C2">
      <w:pPr>
        <w:pStyle w:val="BodyText"/>
        <w:rPr>
          <w:b/>
        </w:rPr>
      </w:pPr>
    </w:p>
    <w:p w14:paraId="01B367A5" w14:textId="77777777" w:rsidR="006719C2" w:rsidRDefault="00D511DA">
      <w:pPr>
        <w:ind w:left="104"/>
        <w:rPr>
          <w:b/>
        </w:rPr>
      </w:pPr>
      <w:r>
        <w:rPr>
          <w:b/>
          <w:spacing w:val="-2"/>
        </w:rPr>
        <w:t>Introduction</w:t>
      </w:r>
    </w:p>
    <w:p w14:paraId="5A9BCD67" w14:textId="77777777" w:rsidR="006719C2" w:rsidRDefault="006719C2">
      <w:pPr>
        <w:pStyle w:val="BodyText"/>
        <w:spacing w:before="1"/>
        <w:rPr>
          <w:b/>
        </w:rPr>
      </w:pPr>
    </w:p>
    <w:p w14:paraId="2623C58F" w14:textId="7DD0A7EF" w:rsidR="006719C2" w:rsidRDefault="00D511DA" w:rsidP="00210E60">
      <w:pPr>
        <w:pStyle w:val="BodyText"/>
        <w:ind w:left="104" w:right="110"/>
        <w:jc w:val="both"/>
      </w:pPr>
      <w:r>
        <w:t>Advanz Pharma</w:t>
      </w:r>
      <w:r w:rsidR="00210E60">
        <w:t xml:space="preserve"> Holdco </w:t>
      </w:r>
      <w:r>
        <w:t xml:space="preserve">Limited (together with its subsidiaries, “Advanz”) </w:t>
      </w:r>
      <w:r w:rsidR="00210E60">
        <w:t>is a global pharmaceutical company, owning or licensing, through its subsidiaries, a diversified portfolio of branded and generic prescription products.</w:t>
      </w:r>
      <w:r w:rsidR="00210E60">
        <w:rPr>
          <w:spacing w:val="-2"/>
        </w:rPr>
        <w:t xml:space="preserve"> </w:t>
      </w:r>
      <w:r>
        <w:t xml:space="preserve">Advanz’s corporate head office </w:t>
      </w:r>
      <w:proofErr w:type="gramStart"/>
      <w:r>
        <w:t>is located in</w:t>
      </w:r>
      <w:proofErr w:type="gramEnd"/>
      <w:r>
        <w:t xml:space="preserve"> the United Kingdom.</w:t>
      </w:r>
    </w:p>
    <w:p w14:paraId="455EC0F6" w14:textId="77777777" w:rsidR="006719C2" w:rsidRDefault="006719C2">
      <w:pPr>
        <w:pStyle w:val="BodyText"/>
        <w:spacing w:before="1"/>
      </w:pPr>
    </w:p>
    <w:p w14:paraId="5F1D782E" w14:textId="77777777" w:rsidR="006719C2" w:rsidRDefault="00D511DA">
      <w:pPr>
        <w:pStyle w:val="BodyText"/>
        <w:ind w:left="104" w:right="112"/>
        <w:jc w:val="both"/>
      </w:pPr>
      <w:r>
        <w:t>This document sets out Advanz’s approach with respect to its U.K. tax affairs. Advanz considers that the publication of this statement complies with the requirements set out in Schedule 19 FA 2016.</w:t>
      </w:r>
    </w:p>
    <w:p w14:paraId="08985C40" w14:textId="77777777" w:rsidR="006719C2" w:rsidRDefault="006719C2">
      <w:pPr>
        <w:pStyle w:val="BodyText"/>
        <w:spacing w:before="1"/>
      </w:pPr>
    </w:p>
    <w:p w14:paraId="5817A711" w14:textId="77777777" w:rsidR="006719C2" w:rsidRDefault="00D511DA">
      <w:pPr>
        <w:pStyle w:val="Heading1"/>
        <w:jc w:val="both"/>
      </w:pPr>
      <w:r>
        <w:t>Risk</w:t>
      </w:r>
      <w:r>
        <w:rPr>
          <w:spacing w:val="-5"/>
        </w:rPr>
        <w:t xml:space="preserve"> </w:t>
      </w:r>
      <w:r>
        <w:t>management</w:t>
      </w:r>
      <w:r>
        <w:rPr>
          <w:spacing w:val="-5"/>
        </w:rPr>
        <w:t xml:space="preserve"> </w:t>
      </w:r>
      <w:r>
        <w:t>&amp;</w:t>
      </w:r>
      <w:r>
        <w:rPr>
          <w:spacing w:val="-5"/>
        </w:rPr>
        <w:t xml:space="preserve"> </w:t>
      </w:r>
      <w:r>
        <w:rPr>
          <w:spacing w:val="-2"/>
        </w:rPr>
        <w:t>governance</w:t>
      </w:r>
    </w:p>
    <w:p w14:paraId="1E710A46" w14:textId="77777777" w:rsidR="006719C2" w:rsidRDefault="006719C2">
      <w:pPr>
        <w:pStyle w:val="BodyText"/>
        <w:rPr>
          <w:b/>
        </w:rPr>
      </w:pPr>
    </w:p>
    <w:p w14:paraId="71A3E3C3" w14:textId="02AEF2A4" w:rsidR="006719C2" w:rsidRDefault="00D511DA">
      <w:pPr>
        <w:pStyle w:val="BodyText"/>
        <w:spacing w:before="1"/>
        <w:ind w:left="104" w:right="107"/>
        <w:jc w:val="both"/>
      </w:pPr>
      <w:r>
        <w:t>Advanz</w:t>
      </w:r>
      <w:r>
        <w:rPr>
          <w:spacing w:val="-13"/>
        </w:rPr>
        <w:t xml:space="preserve"> </w:t>
      </w:r>
      <w:r>
        <w:t>employs</w:t>
      </w:r>
      <w:r>
        <w:rPr>
          <w:spacing w:val="-12"/>
        </w:rPr>
        <w:t xml:space="preserve"> </w:t>
      </w:r>
      <w:r>
        <w:t>an</w:t>
      </w:r>
      <w:r>
        <w:rPr>
          <w:spacing w:val="-13"/>
        </w:rPr>
        <w:t xml:space="preserve"> </w:t>
      </w:r>
      <w:r>
        <w:t>experienced</w:t>
      </w:r>
      <w:r>
        <w:rPr>
          <w:spacing w:val="-12"/>
        </w:rPr>
        <w:t xml:space="preserve"> </w:t>
      </w:r>
      <w:r>
        <w:t>and</w:t>
      </w:r>
      <w:r>
        <w:rPr>
          <w:spacing w:val="-13"/>
        </w:rPr>
        <w:t xml:space="preserve"> </w:t>
      </w:r>
      <w:r>
        <w:t>dedicated</w:t>
      </w:r>
      <w:r>
        <w:rPr>
          <w:spacing w:val="-12"/>
        </w:rPr>
        <w:t xml:space="preserve"> </w:t>
      </w:r>
      <w:r>
        <w:t>team</w:t>
      </w:r>
      <w:r>
        <w:rPr>
          <w:spacing w:val="-13"/>
        </w:rPr>
        <w:t xml:space="preserve"> </w:t>
      </w:r>
      <w:r>
        <w:t>of</w:t>
      </w:r>
      <w:r>
        <w:rPr>
          <w:spacing w:val="-12"/>
        </w:rPr>
        <w:t xml:space="preserve"> </w:t>
      </w:r>
      <w:r>
        <w:t>tax</w:t>
      </w:r>
      <w:r>
        <w:rPr>
          <w:spacing w:val="-12"/>
        </w:rPr>
        <w:t xml:space="preserve"> </w:t>
      </w:r>
      <w:r>
        <w:t>professionals</w:t>
      </w:r>
      <w:r>
        <w:rPr>
          <w:spacing w:val="-13"/>
        </w:rPr>
        <w:t xml:space="preserve"> </w:t>
      </w:r>
      <w:r>
        <w:t>that</w:t>
      </w:r>
      <w:r>
        <w:rPr>
          <w:spacing w:val="-12"/>
        </w:rPr>
        <w:t xml:space="preserve"> </w:t>
      </w:r>
      <w:r>
        <w:t>collaborate</w:t>
      </w:r>
      <w:r>
        <w:rPr>
          <w:spacing w:val="-13"/>
        </w:rPr>
        <w:t xml:space="preserve"> </w:t>
      </w:r>
      <w:r>
        <w:t>with</w:t>
      </w:r>
      <w:r>
        <w:rPr>
          <w:spacing w:val="-12"/>
        </w:rPr>
        <w:t xml:space="preserve"> </w:t>
      </w:r>
      <w:r>
        <w:t xml:space="preserve">internal stakeholders to provide advice and guidance necessary to ensure compliance with relevant tax legislation and/or tax authority guidance. The Head of Tax </w:t>
      </w:r>
      <w:r w:rsidR="007807EC">
        <w:t>is ba</w:t>
      </w:r>
      <w:r>
        <w:t>sed</w:t>
      </w:r>
      <w:r>
        <w:rPr>
          <w:spacing w:val="-7"/>
        </w:rPr>
        <w:t xml:space="preserve"> </w:t>
      </w:r>
      <w:r>
        <w:t>in</w:t>
      </w:r>
      <w:r>
        <w:rPr>
          <w:spacing w:val="-7"/>
        </w:rPr>
        <w:t xml:space="preserve"> </w:t>
      </w:r>
      <w:r>
        <w:t>London</w:t>
      </w:r>
      <w:r>
        <w:rPr>
          <w:spacing w:val="-7"/>
        </w:rPr>
        <w:t xml:space="preserve"> </w:t>
      </w:r>
      <w:r>
        <w:t>and</w:t>
      </w:r>
      <w:r>
        <w:rPr>
          <w:spacing w:val="-7"/>
        </w:rPr>
        <w:t xml:space="preserve"> </w:t>
      </w:r>
      <w:r>
        <w:t>report</w:t>
      </w:r>
      <w:r w:rsidR="008B0AEF">
        <w:t>s</w:t>
      </w:r>
      <w:r>
        <w:rPr>
          <w:spacing w:val="-7"/>
        </w:rPr>
        <w:t xml:space="preserve"> </w:t>
      </w:r>
      <w:r>
        <w:t>to</w:t>
      </w:r>
      <w:r>
        <w:rPr>
          <w:spacing w:val="-7"/>
        </w:rPr>
        <w:t xml:space="preserve"> </w:t>
      </w:r>
      <w:r>
        <w:t>the</w:t>
      </w:r>
      <w:r>
        <w:rPr>
          <w:spacing w:val="-6"/>
        </w:rPr>
        <w:t xml:space="preserve"> </w:t>
      </w:r>
      <w:r w:rsidR="007807EC">
        <w:rPr>
          <w:spacing w:val="-6"/>
        </w:rPr>
        <w:t xml:space="preserve">CFO </w:t>
      </w:r>
      <w:r>
        <w:t>who</w:t>
      </w:r>
      <w:r>
        <w:rPr>
          <w:spacing w:val="-7"/>
        </w:rPr>
        <w:t xml:space="preserve"> </w:t>
      </w:r>
      <w:r>
        <w:t>is</w:t>
      </w:r>
      <w:r>
        <w:rPr>
          <w:spacing w:val="-7"/>
        </w:rPr>
        <w:t xml:space="preserve"> </w:t>
      </w:r>
      <w:r>
        <w:t>also</w:t>
      </w:r>
      <w:r>
        <w:rPr>
          <w:spacing w:val="-7"/>
        </w:rPr>
        <w:t xml:space="preserve"> </w:t>
      </w:r>
      <w:r>
        <w:t>based in the corporate head office in London. Where necessary, a matter will be escalated to executive management and, if appropriate, the Board of Directors (“Board”) of the parent company, who have ultimate responsibility for the governance and risk management of Advanz.</w:t>
      </w:r>
    </w:p>
    <w:p w14:paraId="3765A2DB" w14:textId="77777777" w:rsidR="006719C2" w:rsidRDefault="006719C2">
      <w:pPr>
        <w:pStyle w:val="BodyText"/>
        <w:spacing w:before="9"/>
        <w:rPr>
          <w:sz w:val="21"/>
        </w:rPr>
      </w:pPr>
    </w:p>
    <w:p w14:paraId="51257E81" w14:textId="77777777" w:rsidR="006719C2" w:rsidRDefault="00D511DA">
      <w:pPr>
        <w:pStyle w:val="BodyText"/>
        <w:ind w:left="104" w:right="113"/>
        <w:jc w:val="both"/>
      </w:pPr>
      <w:r>
        <w:t>Advanz</w:t>
      </w:r>
      <w:r>
        <w:rPr>
          <w:spacing w:val="-10"/>
        </w:rPr>
        <w:t xml:space="preserve"> </w:t>
      </w:r>
      <w:r>
        <w:t>will</w:t>
      </w:r>
      <w:r>
        <w:rPr>
          <w:spacing w:val="-10"/>
        </w:rPr>
        <w:t xml:space="preserve"> </w:t>
      </w:r>
      <w:r>
        <w:t>obtain</w:t>
      </w:r>
      <w:r>
        <w:rPr>
          <w:spacing w:val="-10"/>
        </w:rPr>
        <w:t xml:space="preserve"> </w:t>
      </w:r>
      <w:r>
        <w:t>external</w:t>
      </w:r>
      <w:r>
        <w:rPr>
          <w:spacing w:val="-10"/>
        </w:rPr>
        <w:t xml:space="preserve"> </w:t>
      </w:r>
      <w:r>
        <w:t>advice</w:t>
      </w:r>
      <w:r>
        <w:rPr>
          <w:spacing w:val="-10"/>
        </w:rPr>
        <w:t xml:space="preserve"> </w:t>
      </w:r>
      <w:r>
        <w:t>from</w:t>
      </w:r>
      <w:r>
        <w:rPr>
          <w:spacing w:val="-10"/>
        </w:rPr>
        <w:t xml:space="preserve"> </w:t>
      </w:r>
      <w:r>
        <w:t>reputable</w:t>
      </w:r>
      <w:r>
        <w:rPr>
          <w:spacing w:val="-10"/>
        </w:rPr>
        <w:t xml:space="preserve"> </w:t>
      </w:r>
      <w:r>
        <w:t>and</w:t>
      </w:r>
      <w:r>
        <w:rPr>
          <w:spacing w:val="-10"/>
        </w:rPr>
        <w:t xml:space="preserve"> </w:t>
      </w:r>
      <w:r>
        <w:t>experienced</w:t>
      </w:r>
      <w:r>
        <w:rPr>
          <w:spacing w:val="-10"/>
        </w:rPr>
        <w:t xml:space="preserve"> </w:t>
      </w:r>
      <w:r>
        <w:t>professionals</w:t>
      </w:r>
      <w:r>
        <w:rPr>
          <w:spacing w:val="-10"/>
        </w:rPr>
        <w:t xml:space="preserve"> </w:t>
      </w:r>
      <w:r>
        <w:t>if</w:t>
      </w:r>
      <w:r>
        <w:rPr>
          <w:spacing w:val="-10"/>
        </w:rPr>
        <w:t xml:space="preserve"> </w:t>
      </w:r>
      <w:r>
        <w:t>necessary.</w:t>
      </w:r>
      <w:r>
        <w:rPr>
          <w:spacing w:val="-10"/>
        </w:rPr>
        <w:t xml:space="preserve"> </w:t>
      </w:r>
      <w:r>
        <w:t>Diligent professional</w:t>
      </w:r>
      <w:r>
        <w:rPr>
          <w:spacing w:val="-8"/>
        </w:rPr>
        <w:t xml:space="preserve"> </w:t>
      </w:r>
      <w:r>
        <w:t>care</w:t>
      </w:r>
      <w:r>
        <w:rPr>
          <w:spacing w:val="-8"/>
        </w:rPr>
        <w:t xml:space="preserve"> </w:t>
      </w:r>
      <w:r>
        <w:t>and</w:t>
      </w:r>
      <w:r>
        <w:rPr>
          <w:spacing w:val="-8"/>
        </w:rPr>
        <w:t xml:space="preserve"> </w:t>
      </w:r>
      <w:r>
        <w:t>judgement</w:t>
      </w:r>
      <w:r>
        <w:rPr>
          <w:spacing w:val="-8"/>
        </w:rPr>
        <w:t xml:space="preserve"> </w:t>
      </w:r>
      <w:r>
        <w:t>is</w:t>
      </w:r>
      <w:r>
        <w:rPr>
          <w:spacing w:val="-8"/>
        </w:rPr>
        <w:t xml:space="preserve"> </w:t>
      </w:r>
      <w:r>
        <w:t>employed</w:t>
      </w:r>
      <w:r>
        <w:rPr>
          <w:spacing w:val="-8"/>
        </w:rPr>
        <w:t xml:space="preserve"> </w:t>
      </w:r>
      <w:r>
        <w:t>to</w:t>
      </w:r>
      <w:r>
        <w:rPr>
          <w:spacing w:val="-8"/>
        </w:rPr>
        <w:t xml:space="preserve"> </w:t>
      </w:r>
      <w:r>
        <w:t>assess</w:t>
      </w:r>
      <w:r>
        <w:rPr>
          <w:spacing w:val="-8"/>
        </w:rPr>
        <w:t xml:space="preserve"> </w:t>
      </w:r>
      <w:r>
        <w:t>tax</w:t>
      </w:r>
      <w:r>
        <w:rPr>
          <w:spacing w:val="-8"/>
        </w:rPr>
        <w:t xml:space="preserve"> </w:t>
      </w:r>
      <w:r>
        <w:t>risk,</w:t>
      </w:r>
      <w:r>
        <w:rPr>
          <w:spacing w:val="-8"/>
        </w:rPr>
        <w:t xml:space="preserve"> </w:t>
      </w:r>
      <w:r>
        <w:t>to</w:t>
      </w:r>
      <w:r>
        <w:rPr>
          <w:spacing w:val="-8"/>
        </w:rPr>
        <w:t xml:space="preserve"> </w:t>
      </w:r>
      <w:r>
        <w:t>arrive</w:t>
      </w:r>
      <w:r>
        <w:rPr>
          <w:spacing w:val="-8"/>
        </w:rPr>
        <w:t xml:space="preserve"> </w:t>
      </w:r>
      <w:r>
        <w:t>at</w:t>
      </w:r>
      <w:r>
        <w:rPr>
          <w:spacing w:val="-8"/>
        </w:rPr>
        <w:t xml:space="preserve"> </w:t>
      </w:r>
      <w:r>
        <w:t>well-reasoned</w:t>
      </w:r>
      <w:r>
        <w:rPr>
          <w:spacing w:val="-8"/>
        </w:rPr>
        <w:t xml:space="preserve"> </w:t>
      </w:r>
      <w:r>
        <w:t>conclusions concerning how risk should be managed.</w:t>
      </w:r>
    </w:p>
    <w:p w14:paraId="2672F7A0" w14:textId="77777777" w:rsidR="006719C2" w:rsidRDefault="006719C2">
      <w:pPr>
        <w:pStyle w:val="BodyText"/>
        <w:spacing w:before="1"/>
      </w:pPr>
    </w:p>
    <w:p w14:paraId="23928A05" w14:textId="77777777" w:rsidR="006719C2" w:rsidRDefault="00D511DA">
      <w:pPr>
        <w:pStyle w:val="BodyText"/>
        <w:ind w:left="104" w:right="112"/>
        <w:jc w:val="both"/>
      </w:pPr>
      <w:r>
        <w:t>Decisions concerning risk will be made in a manner that is consistent with</w:t>
      </w:r>
      <w:r>
        <w:rPr>
          <w:spacing w:val="-3"/>
        </w:rPr>
        <w:t xml:space="preserve"> </w:t>
      </w:r>
      <w:r>
        <w:t>Advanz’s interpretation of relevant</w:t>
      </w:r>
      <w:r>
        <w:rPr>
          <w:spacing w:val="-8"/>
        </w:rPr>
        <w:t xml:space="preserve"> </w:t>
      </w:r>
      <w:r>
        <w:t>tax</w:t>
      </w:r>
      <w:r>
        <w:rPr>
          <w:spacing w:val="-8"/>
        </w:rPr>
        <w:t xml:space="preserve"> </w:t>
      </w:r>
      <w:r>
        <w:t>legislation</w:t>
      </w:r>
      <w:r>
        <w:rPr>
          <w:spacing w:val="-8"/>
        </w:rPr>
        <w:t xml:space="preserve"> </w:t>
      </w:r>
      <w:r>
        <w:t>and/or</w:t>
      </w:r>
      <w:r>
        <w:rPr>
          <w:spacing w:val="-8"/>
        </w:rPr>
        <w:t xml:space="preserve"> </w:t>
      </w:r>
      <w:r>
        <w:t>tax</w:t>
      </w:r>
      <w:r>
        <w:rPr>
          <w:spacing w:val="-8"/>
        </w:rPr>
        <w:t xml:space="preserve"> </w:t>
      </w:r>
      <w:r>
        <w:t>authority</w:t>
      </w:r>
      <w:r>
        <w:rPr>
          <w:spacing w:val="-8"/>
        </w:rPr>
        <w:t xml:space="preserve"> </w:t>
      </w:r>
      <w:r>
        <w:t>guidance.</w:t>
      </w:r>
      <w:r>
        <w:rPr>
          <w:spacing w:val="-8"/>
        </w:rPr>
        <w:t xml:space="preserve"> </w:t>
      </w:r>
      <w:r>
        <w:t>Compliance</w:t>
      </w:r>
      <w:r>
        <w:rPr>
          <w:spacing w:val="-8"/>
        </w:rPr>
        <w:t xml:space="preserve"> </w:t>
      </w:r>
      <w:r>
        <w:t>with</w:t>
      </w:r>
      <w:r>
        <w:rPr>
          <w:spacing w:val="-8"/>
        </w:rPr>
        <w:t xml:space="preserve"> </w:t>
      </w:r>
      <w:r>
        <w:t>relevant</w:t>
      </w:r>
      <w:r>
        <w:rPr>
          <w:spacing w:val="-8"/>
        </w:rPr>
        <w:t xml:space="preserve"> </w:t>
      </w:r>
      <w:r>
        <w:t>tax</w:t>
      </w:r>
      <w:r>
        <w:rPr>
          <w:spacing w:val="-8"/>
        </w:rPr>
        <w:t xml:space="preserve"> </w:t>
      </w:r>
      <w:r>
        <w:t>legislation</w:t>
      </w:r>
      <w:r>
        <w:rPr>
          <w:spacing w:val="-8"/>
        </w:rPr>
        <w:t xml:space="preserve"> </w:t>
      </w:r>
      <w:r>
        <w:t xml:space="preserve">and/or tax authority guidance is part of Advanz’s overall strategy and is considered when making business </w:t>
      </w:r>
      <w:r>
        <w:rPr>
          <w:spacing w:val="-2"/>
        </w:rPr>
        <w:t>decisions.</w:t>
      </w:r>
    </w:p>
    <w:p w14:paraId="47C5B3F0" w14:textId="77777777" w:rsidR="006719C2" w:rsidRDefault="006719C2">
      <w:pPr>
        <w:pStyle w:val="BodyText"/>
        <w:spacing w:before="1"/>
      </w:pPr>
    </w:p>
    <w:p w14:paraId="0694DB07" w14:textId="77777777" w:rsidR="006719C2" w:rsidRDefault="00D511DA">
      <w:pPr>
        <w:pStyle w:val="Heading1"/>
        <w:jc w:val="both"/>
      </w:pPr>
      <w:r>
        <w:t>Attitude</w:t>
      </w:r>
      <w:r>
        <w:rPr>
          <w:spacing w:val="-5"/>
        </w:rPr>
        <w:t xml:space="preserve"> </w:t>
      </w:r>
      <w:r>
        <w:t>to</w:t>
      </w:r>
      <w:r>
        <w:rPr>
          <w:spacing w:val="-4"/>
        </w:rPr>
        <w:t xml:space="preserve"> </w:t>
      </w:r>
      <w:r>
        <w:t>tax</w:t>
      </w:r>
      <w:r>
        <w:rPr>
          <w:spacing w:val="-4"/>
        </w:rPr>
        <w:t xml:space="preserve"> risk</w:t>
      </w:r>
    </w:p>
    <w:p w14:paraId="17A3510B" w14:textId="77777777" w:rsidR="006719C2" w:rsidRDefault="006719C2">
      <w:pPr>
        <w:pStyle w:val="BodyText"/>
        <w:rPr>
          <w:b/>
        </w:rPr>
      </w:pPr>
    </w:p>
    <w:p w14:paraId="6F68E0FE" w14:textId="660F9DF0" w:rsidR="006719C2" w:rsidRDefault="00D511DA">
      <w:pPr>
        <w:pStyle w:val="BodyText"/>
        <w:spacing w:before="1"/>
        <w:ind w:left="104" w:right="108"/>
        <w:jc w:val="both"/>
      </w:pPr>
      <w:r>
        <w:t>The level of risk that Advanz accepts in relation to U.K. taxation is consistent with the risk tolerance applied in the conduct of other aspects of its business. Advanz seeks to comply with relevant tax legislation and/or tax authority guidance and to act in a manner that upholds its reputation as a responsible corporate citizen and considers applicable corporate, regulatory and other legal statutes and fiduciary duties of directors and employees. In relation to any specific matter or transaction, Advanz will identify whether a tax risk exists that needs to be addressed, determines what action(s) should be taken to address the risk and ensures that action(s) is taken to address the risk. Where necessary, a matter will be escalated to executive management and, if appropriate, the Board.</w:t>
      </w:r>
    </w:p>
    <w:p w14:paraId="258C73D9" w14:textId="77777777" w:rsidR="006719C2" w:rsidRDefault="006719C2">
      <w:pPr>
        <w:pStyle w:val="BodyText"/>
        <w:spacing w:before="9"/>
        <w:rPr>
          <w:sz w:val="21"/>
        </w:rPr>
      </w:pPr>
    </w:p>
    <w:p w14:paraId="1845242D" w14:textId="77777777" w:rsidR="006719C2" w:rsidRDefault="00D511DA">
      <w:pPr>
        <w:pStyle w:val="Heading1"/>
        <w:jc w:val="both"/>
      </w:pPr>
      <w:r>
        <w:t>Approach</w:t>
      </w:r>
      <w:r>
        <w:rPr>
          <w:spacing w:val="-5"/>
        </w:rPr>
        <w:t xml:space="preserve"> </w:t>
      </w:r>
      <w:r>
        <w:t>to</w:t>
      </w:r>
      <w:r>
        <w:rPr>
          <w:spacing w:val="-4"/>
        </w:rPr>
        <w:t xml:space="preserve"> </w:t>
      </w:r>
      <w:r>
        <w:t>tax</w:t>
      </w:r>
      <w:r>
        <w:rPr>
          <w:spacing w:val="-4"/>
        </w:rPr>
        <w:t xml:space="preserve"> </w:t>
      </w:r>
      <w:r>
        <w:rPr>
          <w:spacing w:val="-2"/>
        </w:rPr>
        <w:t>planning</w:t>
      </w:r>
    </w:p>
    <w:p w14:paraId="2F898BBE" w14:textId="77777777" w:rsidR="006719C2" w:rsidRDefault="006719C2">
      <w:pPr>
        <w:pStyle w:val="BodyText"/>
        <w:spacing w:before="1"/>
        <w:rPr>
          <w:b/>
        </w:rPr>
      </w:pPr>
    </w:p>
    <w:p w14:paraId="4AC2D71B" w14:textId="77777777" w:rsidR="006719C2" w:rsidRDefault="00D511DA">
      <w:pPr>
        <w:pStyle w:val="BodyText"/>
        <w:ind w:left="104" w:right="108"/>
        <w:jc w:val="both"/>
      </w:pPr>
      <w:r>
        <w:t>Advanz believes that it has an obligation to pay the amount of tax that it believes is due to each tax authority</w:t>
      </w:r>
      <w:r>
        <w:rPr>
          <w:spacing w:val="-2"/>
        </w:rPr>
        <w:t xml:space="preserve"> </w:t>
      </w:r>
      <w:r>
        <w:t>when</w:t>
      </w:r>
      <w:r>
        <w:rPr>
          <w:spacing w:val="-2"/>
        </w:rPr>
        <w:t xml:space="preserve"> </w:t>
      </w:r>
      <w:r>
        <w:t>it</w:t>
      </w:r>
      <w:r>
        <w:rPr>
          <w:spacing w:val="-2"/>
        </w:rPr>
        <w:t xml:space="preserve"> </w:t>
      </w:r>
      <w:r>
        <w:t>falls</w:t>
      </w:r>
      <w:r>
        <w:rPr>
          <w:spacing w:val="-2"/>
        </w:rPr>
        <w:t xml:space="preserve"> </w:t>
      </w:r>
      <w:r>
        <w:t>due.</w:t>
      </w:r>
      <w:r>
        <w:rPr>
          <w:spacing w:val="-1"/>
        </w:rPr>
        <w:t xml:space="preserve"> </w:t>
      </w:r>
      <w:r>
        <w:t>Advanz</w:t>
      </w:r>
      <w:r>
        <w:rPr>
          <w:spacing w:val="-2"/>
        </w:rPr>
        <w:t xml:space="preserve"> </w:t>
      </w:r>
      <w:r>
        <w:t>will</w:t>
      </w:r>
      <w:r>
        <w:rPr>
          <w:spacing w:val="-2"/>
        </w:rPr>
        <w:t xml:space="preserve"> </w:t>
      </w:r>
      <w:r>
        <w:t>consider</w:t>
      </w:r>
      <w:r>
        <w:rPr>
          <w:spacing w:val="-2"/>
        </w:rPr>
        <w:t xml:space="preserve"> </w:t>
      </w:r>
      <w:r>
        <w:t>planning</w:t>
      </w:r>
      <w:r>
        <w:rPr>
          <w:spacing w:val="-2"/>
        </w:rPr>
        <w:t xml:space="preserve"> </w:t>
      </w:r>
      <w:r>
        <w:t>to</w:t>
      </w:r>
      <w:r>
        <w:rPr>
          <w:spacing w:val="-2"/>
        </w:rPr>
        <w:t xml:space="preserve"> </w:t>
      </w:r>
      <w:r>
        <w:t>reduce</w:t>
      </w:r>
      <w:r>
        <w:rPr>
          <w:spacing w:val="-2"/>
        </w:rPr>
        <w:t xml:space="preserve"> </w:t>
      </w:r>
      <w:r>
        <w:t>risk</w:t>
      </w:r>
      <w:r>
        <w:rPr>
          <w:spacing w:val="-2"/>
        </w:rPr>
        <w:t xml:space="preserve"> </w:t>
      </w:r>
      <w:r>
        <w:t>and/or</w:t>
      </w:r>
      <w:r>
        <w:rPr>
          <w:spacing w:val="-2"/>
        </w:rPr>
        <w:t xml:space="preserve"> </w:t>
      </w:r>
      <w:r>
        <w:t>an</w:t>
      </w:r>
      <w:r>
        <w:rPr>
          <w:spacing w:val="-2"/>
        </w:rPr>
        <w:t xml:space="preserve"> </w:t>
      </w:r>
      <w:r>
        <w:t>amount</w:t>
      </w:r>
      <w:r>
        <w:rPr>
          <w:spacing w:val="-2"/>
        </w:rPr>
        <w:t xml:space="preserve"> </w:t>
      </w:r>
      <w:r>
        <w:t>of</w:t>
      </w:r>
      <w:r>
        <w:rPr>
          <w:spacing w:val="-2"/>
        </w:rPr>
        <w:t xml:space="preserve"> </w:t>
      </w:r>
      <w:r>
        <w:t>tax</w:t>
      </w:r>
      <w:r>
        <w:rPr>
          <w:spacing w:val="-2"/>
        </w:rPr>
        <w:t xml:space="preserve"> </w:t>
      </w:r>
      <w:r>
        <w:t>that may</w:t>
      </w:r>
      <w:r>
        <w:rPr>
          <w:spacing w:val="-1"/>
        </w:rPr>
        <w:t xml:space="preserve"> </w:t>
      </w:r>
      <w:r>
        <w:t>otherwise</w:t>
      </w:r>
      <w:r>
        <w:rPr>
          <w:spacing w:val="-1"/>
        </w:rPr>
        <w:t xml:space="preserve"> </w:t>
      </w:r>
      <w:r>
        <w:t>be</w:t>
      </w:r>
      <w:r>
        <w:rPr>
          <w:spacing w:val="-1"/>
        </w:rPr>
        <w:t xml:space="preserve"> </w:t>
      </w:r>
      <w:r>
        <w:t>due</w:t>
      </w:r>
      <w:r>
        <w:rPr>
          <w:spacing w:val="-1"/>
        </w:rPr>
        <w:t xml:space="preserve"> </w:t>
      </w:r>
      <w:r>
        <w:t>if such planning</w:t>
      </w:r>
      <w:r>
        <w:rPr>
          <w:spacing w:val="-1"/>
        </w:rPr>
        <w:t xml:space="preserve"> </w:t>
      </w:r>
      <w:r>
        <w:t>is consistent with the</w:t>
      </w:r>
      <w:r>
        <w:rPr>
          <w:spacing w:val="-1"/>
        </w:rPr>
        <w:t xml:space="preserve"> </w:t>
      </w:r>
      <w:r>
        <w:t>transaction’s commercial and economic objectives. Where appropriate Advanz will structure its affairs in a manner that is consistent with its commercial</w:t>
      </w:r>
      <w:r>
        <w:rPr>
          <w:spacing w:val="40"/>
        </w:rPr>
        <w:t xml:space="preserve"> </w:t>
      </w:r>
      <w:r>
        <w:t>and</w:t>
      </w:r>
      <w:r>
        <w:rPr>
          <w:spacing w:val="40"/>
        </w:rPr>
        <w:t xml:space="preserve"> </w:t>
      </w:r>
      <w:r>
        <w:t>economic</w:t>
      </w:r>
      <w:r>
        <w:rPr>
          <w:spacing w:val="40"/>
        </w:rPr>
        <w:t xml:space="preserve"> </w:t>
      </w:r>
      <w:r>
        <w:t>objectives</w:t>
      </w:r>
      <w:r>
        <w:rPr>
          <w:spacing w:val="40"/>
        </w:rPr>
        <w:t xml:space="preserve"> </w:t>
      </w:r>
      <w:r>
        <w:t>and</w:t>
      </w:r>
      <w:r>
        <w:rPr>
          <w:spacing w:val="40"/>
        </w:rPr>
        <w:t xml:space="preserve"> </w:t>
      </w:r>
      <w:r>
        <w:t>that</w:t>
      </w:r>
      <w:r>
        <w:rPr>
          <w:spacing w:val="40"/>
        </w:rPr>
        <w:t xml:space="preserve"> </w:t>
      </w:r>
      <w:r>
        <w:t>may</w:t>
      </w:r>
      <w:r>
        <w:rPr>
          <w:spacing w:val="40"/>
        </w:rPr>
        <w:t xml:space="preserve"> </w:t>
      </w:r>
      <w:r>
        <w:t>allow</w:t>
      </w:r>
      <w:r>
        <w:rPr>
          <w:spacing w:val="40"/>
        </w:rPr>
        <w:t xml:space="preserve"> </w:t>
      </w:r>
      <w:r>
        <w:t>access,</w:t>
      </w:r>
      <w:r>
        <w:rPr>
          <w:spacing w:val="40"/>
        </w:rPr>
        <w:t xml:space="preserve"> </w:t>
      </w:r>
      <w:r>
        <w:t>based</w:t>
      </w:r>
      <w:r>
        <w:rPr>
          <w:spacing w:val="40"/>
        </w:rPr>
        <w:t xml:space="preserve"> </w:t>
      </w:r>
      <w:r>
        <w:t>on</w:t>
      </w:r>
      <w:r>
        <w:rPr>
          <w:spacing w:val="40"/>
        </w:rPr>
        <w:t xml:space="preserve"> </w:t>
      </w:r>
      <w:r>
        <w:t>its</w:t>
      </w:r>
      <w:r>
        <w:rPr>
          <w:spacing w:val="40"/>
        </w:rPr>
        <w:t xml:space="preserve"> </w:t>
      </w:r>
      <w:r>
        <w:t>interpretation</w:t>
      </w:r>
      <w:r>
        <w:rPr>
          <w:spacing w:val="40"/>
        </w:rPr>
        <w:t xml:space="preserve"> </w:t>
      </w:r>
      <w:r>
        <w:t>of</w:t>
      </w:r>
    </w:p>
    <w:p w14:paraId="2FC313E8" w14:textId="77777777" w:rsidR="006719C2" w:rsidRDefault="006719C2">
      <w:pPr>
        <w:jc w:val="both"/>
        <w:sectPr w:rsidR="006719C2">
          <w:type w:val="continuous"/>
          <w:pgSz w:w="11910" w:h="16840"/>
          <w:pgMar w:top="1620" w:right="1320" w:bottom="280" w:left="1340" w:header="720" w:footer="720" w:gutter="0"/>
          <w:cols w:space="720"/>
        </w:sectPr>
      </w:pPr>
    </w:p>
    <w:p w14:paraId="69DF70BD" w14:textId="77777777" w:rsidR="006719C2" w:rsidRDefault="00D511DA">
      <w:pPr>
        <w:pStyle w:val="BodyText"/>
        <w:spacing w:before="88"/>
        <w:ind w:left="104"/>
      </w:pPr>
      <w:r>
        <w:lastRenderedPageBreak/>
        <w:t>relevant tax legislation and/or tax authority guidance, to incentives, exemptions and/or deductions available pursuant to relevant tax legislation.</w:t>
      </w:r>
    </w:p>
    <w:p w14:paraId="3BF4EB1C" w14:textId="77777777" w:rsidR="006719C2" w:rsidRDefault="006719C2">
      <w:pPr>
        <w:pStyle w:val="BodyText"/>
        <w:spacing w:before="1"/>
      </w:pPr>
    </w:p>
    <w:p w14:paraId="3DEC72F4" w14:textId="77777777" w:rsidR="006719C2" w:rsidRDefault="00D511DA">
      <w:pPr>
        <w:pStyle w:val="Heading1"/>
      </w:pPr>
      <w:r>
        <w:t>Relationship</w:t>
      </w:r>
      <w:r>
        <w:rPr>
          <w:spacing w:val="-7"/>
        </w:rPr>
        <w:t xml:space="preserve"> </w:t>
      </w:r>
      <w:r>
        <w:t>with</w:t>
      </w:r>
      <w:r>
        <w:rPr>
          <w:spacing w:val="-6"/>
        </w:rPr>
        <w:t xml:space="preserve"> </w:t>
      </w:r>
      <w:r>
        <w:t>tax</w:t>
      </w:r>
      <w:r>
        <w:rPr>
          <w:spacing w:val="-6"/>
        </w:rPr>
        <w:t xml:space="preserve"> </w:t>
      </w:r>
      <w:r>
        <w:rPr>
          <w:spacing w:val="-2"/>
        </w:rPr>
        <w:t>authorities</w:t>
      </w:r>
    </w:p>
    <w:p w14:paraId="3302D60E" w14:textId="77777777" w:rsidR="006719C2" w:rsidRDefault="006719C2">
      <w:pPr>
        <w:pStyle w:val="BodyText"/>
        <w:rPr>
          <w:b/>
        </w:rPr>
      </w:pPr>
    </w:p>
    <w:p w14:paraId="0EDAA1A5" w14:textId="77777777" w:rsidR="006719C2" w:rsidRDefault="00D511DA">
      <w:pPr>
        <w:pStyle w:val="BodyText"/>
        <w:spacing w:before="1"/>
        <w:ind w:left="104" w:right="111"/>
        <w:jc w:val="both"/>
      </w:pPr>
      <w:r>
        <w:t>Advanz is committed to the principles of openness and transparency in its approach to dealing with all applicable authorities, including with all applicable tax authorities. Advanz intends that any interaction with a tax authority and other relevant authority will be conducted in a collaborative, courteous and timely manner and with an objective to resolve disputed matters on a timely basis. Advanz has a long-standing relationship with the U.K. tax authorities. Consistent with the commitments and intentions outlined above, Advanz’s interactions with the U.K. tax authorities are collaborative and courteous.</w:t>
      </w:r>
    </w:p>
    <w:p w14:paraId="7477E026" w14:textId="77777777" w:rsidR="006719C2" w:rsidRDefault="006719C2">
      <w:pPr>
        <w:pStyle w:val="BodyText"/>
        <w:spacing w:before="9"/>
        <w:rPr>
          <w:sz w:val="21"/>
        </w:rPr>
      </w:pPr>
    </w:p>
    <w:p w14:paraId="35DF0E43" w14:textId="38A0F8FB" w:rsidR="006719C2" w:rsidRDefault="00D511DA">
      <w:pPr>
        <w:pStyle w:val="BodyText"/>
        <w:ind w:left="104"/>
      </w:pPr>
      <w:r>
        <w:t>Dated:</w:t>
      </w:r>
      <w:r>
        <w:rPr>
          <w:spacing w:val="-5"/>
        </w:rPr>
        <w:t xml:space="preserve"> </w:t>
      </w:r>
      <w:r w:rsidR="00AE5710">
        <w:rPr>
          <w:spacing w:val="-4"/>
        </w:rPr>
        <w:t>8</w:t>
      </w:r>
      <w:r w:rsidR="00AC3EF4">
        <w:rPr>
          <w:spacing w:val="-4"/>
        </w:rPr>
        <w:t xml:space="preserve"> October 202</w:t>
      </w:r>
      <w:r w:rsidR="00AE5710">
        <w:rPr>
          <w:spacing w:val="-4"/>
        </w:rPr>
        <w:t>5</w:t>
      </w:r>
    </w:p>
    <w:sectPr w:rsidR="006719C2">
      <w:pgSz w:w="11910" w:h="16840"/>
      <w:pgMar w:top="13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C2"/>
    <w:rsid w:val="001652BE"/>
    <w:rsid w:val="00210E60"/>
    <w:rsid w:val="002144D2"/>
    <w:rsid w:val="004B7377"/>
    <w:rsid w:val="00636B14"/>
    <w:rsid w:val="006719C2"/>
    <w:rsid w:val="007807EC"/>
    <w:rsid w:val="008B0AEF"/>
    <w:rsid w:val="008F7207"/>
    <w:rsid w:val="00AC3EF4"/>
    <w:rsid w:val="00AE5710"/>
    <w:rsid w:val="00B7638C"/>
    <w:rsid w:val="00C913BE"/>
    <w:rsid w:val="00CF10D6"/>
    <w:rsid w:val="00D511DA"/>
    <w:rsid w:val="00E80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55BC8"/>
  <w15:docId w15:val="{182B96D7-480E-4A1C-81ED-5EA7F725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4B7377"/>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A6771B3256A47AD155CC7A9C45DCB" ma:contentTypeVersion="5" ma:contentTypeDescription="Create a new document." ma:contentTypeScope="" ma:versionID="d2fe2a21889ed6a2697d942a367450bc">
  <xsd:schema xmlns:xsd="http://www.w3.org/2001/XMLSchema" xmlns:xs="http://www.w3.org/2001/XMLSchema" xmlns:p="http://schemas.microsoft.com/office/2006/metadata/properties" xmlns:ns2="3136b427-5ab7-4d9a-a88c-8adf3f87caef" targetNamespace="http://schemas.microsoft.com/office/2006/metadata/properties" ma:root="true" ma:fieldsID="a5ed711dbbc9f1557089fc88686d2950" ns2:_="">
    <xsd:import namespace="3136b427-5ab7-4d9a-a88c-8adf3f87ca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6b427-5ab7-4d9a-a88c-8adf3f87c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3136b427-5ab7-4d9a-a88c-8adf3f87caef" xsi:nil="true"/>
  </documentManagement>
</p:properties>
</file>

<file path=customXml/itemProps1.xml><?xml version="1.0" encoding="utf-8"?>
<ds:datastoreItem xmlns:ds="http://schemas.openxmlformats.org/officeDocument/2006/customXml" ds:itemID="{17724CE5-98F0-4007-9B72-5ED823B86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6b427-5ab7-4d9a-a88c-8adf3f87c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8D6D92-98CE-42BB-9D73-89F922F999D7}">
  <ds:schemaRefs>
    <ds:schemaRef ds:uri="http://schemas.microsoft.com/sharepoint/v3/contenttype/forms"/>
  </ds:schemaRefs>
</ds:datastoreItem>
</file>

<file path=customXml/itemProps3.xml><?xml version="1.0" encoding="utf-8"?>
<ds:datastoreItem xmlns:ds="http://schemas.openxmlformats.org/officeDocument/2006/customXml" ds:itemID="{584D3E11-E535-4227-9421-2BEFE9F44874}">
  <ds:schemaRefs>
    <ds:schemaRef ds:uri="http://schemas.microsoft.com/office/2006/metadata/properties"/>
    <ds:schemaRef ds:uri="http://schemas.microsoft.com/office/infopath/2007/PartnerControls"/>
    <ds:schemaRef ds:uri="b2e18165-2cce-48ce-b9cf-0b6ae0010281"/>
    <ds:schemaRef ds:uri="c9000b54-abae-4239-8440-7556632c64e1"/>
    <ds:schemaRef ds:uri="3136b427-5ab7-4d9a-a88c-8adf3f87cae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582</Words>
  <Characters>3323</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Advanz Pharma UK Tax Strategy 05.10.2020.docx</dc:title>
  <dc:creator>Amaar Idris</dc:creator>
  <cp:lastModifiedBy>Rajhans Kulkarni</cp:lastModifiedBy>
  <cp:revision>8</cp:revision>
  <dcterms:created xsi:type="dcterms:W3CDTF">2023-06-14T10:00:00Z</dcterms:created>
  <dcterms:modified xsi:type="dcterms:W3CDTF">2025-10-14T13:53:00Z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2020-10-06T00:00:00Z</vt:filetime>
  </property>
  <property fmtid="{D5CDD505-2E9C-101B-9397-08002B2CF9AE}" pid="3" name="Creator">
    <vt:lpwstr>Word</vt:lpwstr>
  </property>
  <property fmtid="{D5CDD505-2E9C-101B-9397-08002B2CF9AE}" pid="4" name="LastSaved">
    <vt:filetime>2023-06-08T00:00:00Z</vt:filetime>
  </property>
  <property fmtid="{D5CDD505-2E9C-101B-9397-08002B2CF9AE}" pid="5" name="Producer">
    <vt:lpwstr>macOS Version 10.15.7 (Build 19H2) Quartz PDFContext</vt:lpwstr>
  </property>
  <property fmtid="{D5CDD505-2E9C-101B-9397-08002B2CF9AE}" pid="6" name="ContentTypeId">
    <vt:lpwstr>0x01010003FA6771B3256A47AD155CC7A9C45DCB</vt:lpwstr>
  </property>
  <property fmtid="{D5CDD505-2E9C-101B-9397-08002B2CF9AE}" pid="7" name="Order">
    <vt:r8>40915200</vt:r8>
  </property>
  <property fmtid="{D5CDD505-2E9C-101B-9397-08002B2CF9AE}" pid="8" name="_ExtendedDescription">
    <vt:lpwstr/>
  </property>
  <property fmtid="{D5CDD505-2E9C-101B-9397-08002B2CF9AE}" pid="9" name="MediaServiceImageTags">
    <vt:lpwstr/>
  </property>
</Properties>
</file>